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707693" w:rsidTr="00707693">
        <w:trPr>
          <w:trHeight w:val="184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Équipe pédagogique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7693" w:rsidRP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 w:rsidRPr="00707693">
              <w:rPr>
                <w:rFonts w:ascii="Arial" w:hAnsi="Arial" w:cs="Arial"/>
                <w:sz w:val="20"/>
                <w:szCs w:val="20"/>
              </w:rPr>
              <w:t>Professeur d’allemand, professeur d’histoire et géographie, professeur de français</w:t>
            </w:r>
            <w:r w:rsidR="00A374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cible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0769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</w:t>
            </w:r>
            <w:r w:rsidRPr="0070769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</w:t>
            </w:r>
            <w:r w:rsidRPr="0070769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 w:rsidR="00A37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07693" w:rsidRDefault="00707693" w:rsidP="007076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707693" w:rsidTr="00707693">
        <w:trPr>
          <w:trHeight w:val="174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F6922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Découverte des habitudes alimentaires de l’autre.</w:t>
            </w:r>
            <w:r w:rsidR="001F69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Travaux de groupe ou en tandem.                                                                                                                    Utilisation des TIC.</w:t>
            </w:r>
          </w:p>
        </w:tc>
      </w:tr>
    </w:tbl>
    <w:p w:rsidR="00707693" w:rsidRDefault="00707693" w:rsidP="007076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707693" w:rsidTr="00707693">
        <w:trPr>
          <w:trHeight w:val="336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Contenu, thèmes, activités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7693" w:rsidRDefault="00707693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thème principal est centré autour de « la n</w:t>
            </w:r>
            <w:r w:rsidR="00A3745C">
              <w:rPr>
                <w:rFonts w:ascii="Arial" w:hAnsi="Arial" w:cs="Arial"/>
                <w:sz w:val="20"/>
                <w:szCs w:val="20"/>
              </w:rPr>
              <w:t>ourriture dans tous ses états » ;</w:t>
            </w:r>
          </w:p>
          <w:p w:rsidR="00707693" w:rsidRDefault="00707693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</w:t>
            </w:r>
            <w:r w:rsidR="00D80C1C">
              <w:rPr>
                <w:rFonts w:ascii="Arial" w:hAnsi="Arial" w:cs="Arial"/>
                <w:sz w:val="20"/>
                <w:szCs w:val="20"/>
              </w:rPr>
              <w:t>ation d’un livre de cuisine («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Kochbuch</w:t>
            </w:r>
            <w:proofErr w:type="spellEnd"/>
            <w:r w:rsidR="00D80C1C">
              <w:rPr>
                <w:rFonts w:ascii="Arial" w:hAnsi="Arial" w:cs="Arial"/>
                <w:sz w:val="20"/>
                <w:szCs w:val="20"/>
              </w:rPr>
              <w:t> »)</w:t>
            </w:r>
            <w:r>
              <w:rPr>
                <w:rFonts w:ascii="Arial" w:hAnsi="Arial" w:cs="Arial"/>
                <w:sz w:val="20"/>
                <w:szCs w:val="20"/>
              </w:rPr>
              <w:t xml:space="preserve">  avec des recettes bilingues, des articles sur les habitudes alimentaires dans les deux pays, des jeux et des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romans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photos ou BD mettant en scène leurs expérienc</w:t>
            </w:r>
            <w:r w:rsidR="00A3745C">
              <w:rPr>
                <w:rFonts w:ascii="Arial" w:hAnsi="Arial" w:cs="Arial"/>
                <w:sz w:val="20"/>
                <w:szCs w:val="20"/>
              </w:rPr>
              <w:t>es culinaires lors de l’échange ;</w:t>
            </w:r>
          </w:p>
          <w:p w:rsidR="00707693" w:rsidRDefault="00707693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="00A3745C">
              <w:rPr>
                <w:rFonts w:ascii="Arial" w:hAnsi="Arial" w:cs="Arial"/>
                <w:sz w:val="20"/>
                <w:szCs w:val="20"/>
              </w:rPr>
              <w:t>avail sur l’érosion de la Seine ;</w:t>
            </w:r>
          </w:p>
          <w:p w:rsidR="00707693" w:rsidRDefault="00707693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Étude d’une ZIP à travers</w:t>
            </w:r>
            <w:r w:rsidR="00A3745C">
              <w:rPr>
                <w:rFonts w:ascii="Arial" w:hAnsi="Arial" w:cs="Arial"/>
                <w:sz w:val="20"/>
                <w:szCs w:val="20"/>
              </w:rPr>
              <w:t xml:space="preserve"> l’exemple de Hambourg ;</w:t>
            </w:r>
          </w:p>
          <w:p w:rsidR="001F6922" w:rsidRDefault="001F6922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sur la ville de Hambourg à travers</w:t>
            </w:r>
            <w:r w:rsidR="00A3745C">
              <w:rPr>
                <w:rFonts w:ascii="Arial" w:hAnsi="Arial" w:cs="Arial"/>
                <w:sz w:val="20"/>
                <w:szCs w:val="20"/>
              </w:rPr>
              <w:t xml:space="preserve"> la thématique « in der </w:t>
            </w:r>
            <w:proofErr w:type="spellStart"/>
            <w:r w:rsidR="00A3745C">
              <w:rPr>
                <w:rFonts w:ascii="Arial" w:hAnsi="Arial" w:cs="Arial"/>
                <w:sz w:val="20"/>
                <w:szCs w:val="20"/>
              </w:rPr>
              <w:t>Stadt</w:t>
            </w:r>
            <w:proofErr w:type="spellEnd"/>
            <w:r w:rsidR="00A3745C">
              <w:rPr>
                <w:rFonts w:ascii="Arial" w:hAnsi="Arial" w:cs="Arial"/>
                <w:sz w:val="20"/>
                <w:szCs w:val="20"/>
              </w:rPr>
              <w:t> » ;</w:t>
            </w:r>
          </w:p>
          <w:p w:rsidR="001F6922" w:rsidRDefault="001F6922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Étude de tableaux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Caspar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 Friedrich</w:t>
            </w:r>
            <w:r w:rsidR="00A3745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F6922" w:rsidRDefault="001F6922" w:rsidP="007D1E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sur les deux guerres mondiales.</w:t>
            </w:r>
          </w:p>
        </w:tc>
      </w:tr>
    </w:tbl>
    <w:p w:rsidR="00707693" w:rsidRDefault="00707693" w:rsidP="0070769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707693" w:rsidTr="00707693">
        <w:trPr>
          <w:trHeight w:val="177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Animation linguistique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élèves devront autant que possible communiquer en allemand avec leurs correspondants et leurs familles d’accueil. Inversement, les Allemands doivent utiliser le français lors de leur séjour à Gaillon.                                                                                                                                                                Les animations linguistiques se font lors de la réalisation du livre de cuisine bilingue.</w:t>
            </w:r>
          </w:p>
          <w:p w:rsidR="00707693" w:rsidRDefault="00707693" w:rsidP="007076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693" w:rsidRDefault="00707693" w:rsidP="007076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707693" w:rsidTr="00707693">
        <w:trPr>
          <w:trHeight w:val="188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Protocole d’évaluation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Rédaction d’un journal de bord lors du séjour à Hambourg et évaluation par les enseignants après le retour en France.</w:t>
            </w:r>
          </w:p>
          <w:p w:rsidR="00707693" w:rsidRDefault="00707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693" w:rsidRDefault="00707693" w:rsidP="00707693">
      <w:pPr>
        <w:rPr>
          <w:rFonts w:ascii="Arial" w:hAnsi="Arial" w:cs="Arial"/>
          <w:sz w:val="20"/>
          <w:szCs w:val="20"/>
        </w:rPr>
      </w:pPr>
    </w:p>
    <w:p w:rsidR="00D836E0" w:rsidRDefault="00D836E0"/>
    <w:sectPr w:rsidR="00D836E0" w:rsidSect="00D8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A88"/>
    <w:multiLevelType w:val="hybridMultilevel"/>
    <w:tmpl w:val="4EC0AB62"/>
    <w:lvl w:ilvl="0" w:tplc="C3008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693"/>
    <w:rsid w:val="001F6922"/>
    <w:rsid w:val="00707693"/>
    <w:rsid w:val="00A3745C"/>
    <w:rsid w:val="00B63205"/>
    <w:rsid w:val="00C91BDF"/>
    <w:rsid w:val="00D80C1C"/>
    <w:rsid w:val="00D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sayesj</dc:creator>
  <cp:lastModifiedBy>sayesj</cp:lastModifiedBy>
  <cp:revision>4</cp:revision>
  <cp:lastPrinted>2015-05-07T12:49:00Z</cp:lastPrinted>
  <dcterms:created xsi:type="dcterms:W3CDTF">2015-05-07T12:36:00Z</dcterms:created>
  <dcterms:modified xsi:type="dcterms:W3CDTF">2015-06-10T14:20:00Z</dcterms:modified>
</cp:coreProperties>
</file>